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1F83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C567D97">
        <w:trPr>
          <w:trHeight w:val="581" w:hRule="atLeast"/>
        </w:trPr>
        <w:tc>
          <w:tcPr>
            <w:tcW w:w="1447" w:type="dxa"/>
            <w:vAlign w:val="center"/>
          </w:tcPr>
          <w:p w14:paraId="3F7B360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D3CC35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单元17 数据可视化进阶</w:t>
            </w:r>
          </w:p>
        </w:tc>
        <w:tc>
          <w:tcPr>
            <w:tcW w:w="709" w:type="dxa"/>
            <w:vAlign w:val="center"/>
          </w:tcPr>
          <w:p w14:paraId="7C4DF327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5762091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FCC4F31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C06CF96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8DD9B56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1CEA5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957C9D4">
            <w:pPr>
              <w:ind w:firstLine="24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D48897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Seaborn高级图表</w:t>
            </w:r>
          </w:p>
          <w:p w14:paraId="62CF363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交互式可视化</w:t>
            </w:r>
          </w:p>
          <w:p w14:paraId="11B1B0F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地理信息展示</w:t>
            </w:r>
          </w:p>
        </w:tc>
      </w:tr>
      <w:tr w14:paraId="12468D86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9D1C45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52375D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BAAD3D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1.动态可视化技术（如Plotly/Dash）</w:t>
            </w:r>
          </w:p>
          <w:p w14:paraId="738E6FFE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2.多维数据展示方法（平行坐标/雷达图）</w:t>
            </w:r>
          </w:p>
          <w:p w14:paraId="3A6B51A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3.商业智能仪表盘开发</w:t>
            </w:r>
          </w:p>
          <w:p w14:paraId="096567A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DE6DFF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7AFF9F7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515399E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52591E5">
            <w:pPr>
              <w:pStyle w:val="7"/>
              <w:spacing w:before="0" w:beforeAutospacing="0" w:after="0" w:afterAutospacing="0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 培养高级图表素养</w:t>
            </w:r>
          </w:p>
          <w:p w14:paraId="0A82083E">
            <w:pPr>
              <w:pStyle w:val="7"/>
              <w:spacing w:before="0" w:beforeAutospacing="0" w:after="0" w:afterAutospacing="0"/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 建立用户视角思维</w:t>
            </w:r>
          </w:p>
          <w:p w14:paraId="4A5047C7">
            <w:pPr>
              <w:pStyle w:val="7"/>
              <w:spacing w:before="0" w:beforeAutospacing="0" w:after="0" w:afterAutospacing="0"/>
              <w:ind w:firstLine="210" w:firstLineChars="10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 形成空间表达能力。</w:t>
            </w:r>
          </w:p>
        </w:tc>
      </w:tr>
      <w:tr w14:paraId="6A28F0B6">
        <w:trPr>
          <w:trHeight w:val="1124" w:hRule="atLeast"/>
        </w:trPr>
        <w:tc>
          <w:tcPr>
            <w:tcW w:w="1447" w:type="dxa"/>
            <w:vAlign w:val="center"/>
          </w:tcPr>
          <w:p w14:paraId="642E74C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543B9E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23FE686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1E6BF4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1.高级可视化图表类型与适用场景的理解</w:t>
            </w:r>
          </w:p>
          <w:p w14:paraId="1C45754B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2.交互式可视化工具与技术的核心功能</w:t>
            </w:r>
          </w:p>
          <w:p w14:paraId="2FB177F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3.数据可视化设计原则与最佳实践</w:t>
            </w:r>
          </w:p>
          <w:p w14:paraId="12C17278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 w:cs="宋体"/>
                <w:sz w:val="21"/>
                <w:szCs w:val="21"/>
              </w:rPr>
              <w:t>【难点】</w:t>
            </w:r>
          </w:p>
          <w:p w14:paraId="4ECE9A3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1.掌握复杂数据关系的可视化表达方法</w:t>
            </w:r>
          </w:p>
          <w:p w14:paraId="66FE537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2.理解不同可视化工具间的协同工作机制</w:t>
            </w:r>
          </w:p>
          <w:p w14:paraId="45D409B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3.将可视化理论应用于实际业务场景的解决方案设计</w:t>
            </w:r>
          </w:p>
          <w:p w14:paraId="2B1545F1">
            <w:pPr>
              <w:pStyle w:val="7"/>
              <w:spacing w:before="0" w:beforeAutospacing="0" w:after="0" w:afterAutospacing="0"/>
              <w:rPr>
                <w:rFonts w:hint="eastAsia"/>
              </w:rPr>
            </w:pPr>
          </w:p>
        </w:tc>
      </w:tr>
      <w:tr w14:paraId="790C2F6D">
        <w:trPr>
          <w:trHeight w:val="4698" w:hRule="atLeast"/>
        </w:trPr>
        <w:tc>
          <w:tcPr>
            <w:tcW w:w="1447" w:type="dxa"/>
            <w:vAlign w:val="center"/>
          </w:tcPr>
          <w:p w14:paraId="3FA75ED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2EF41F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C1857A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D01F502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1A0A4A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E5AEDE9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E0277CC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8D648A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F7F6A7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B1CF81">
                                          <w:pP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ascii="Times New Roman" w:hAnsi="Times New Roman" w:eastAsia="宋体" w:cs="Times New Roman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CE451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4D01F502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71A0A4A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4E5AEDE9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E0277CC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8D648A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F7F6A7F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0B1CF81">
                                    <w:pP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Times New Roman" w:hAnsi="Times New Roman" w:eastAsia="宋体" w:cs="Times New Roman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9CE451C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E2A8BBC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3F933A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77857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1、高级可视化图表类型与适用场景的理解</w:t>
                                  </w:r>
                                </w:p>
                                <w:p w14:paraId="4AF8687C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77857C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1、高级可视化图表类型与适用场景的理解</w:t>
                            </w:r>
                          </w:p>
                          <w:p w14:paraId="4AF8687C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FFC912">
            <w:pPr>
              <w:rPr>
                <w:rFonts w:hint="eastAsia" w:ascii="宋体" w:hAnsi="宋体"/>
                <w:sz w:val="24"/>
              </w:rPr>
            </w:pPr>
          </w:p>
          <w:p w14:paraId="35D1AFCD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521F04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59F34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2、交互式可视化工具与技术的核心功能</w:t>
                                  </w:r>
                                </w:p>
                                <w:p w14:paraId="4891E977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F59F340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2、交互式可视化工具与技术的核心功能</w:t>
                            </w:r>
                          </w:p>
                          <w:p w14:paraId="4891E977"/>
                        </w:txbxContent>
                      </v:textbox>
                    </v:shape>
                  </w:pict>
                </mc:Fallback>
              </mc:AlternateContent>
            </w:r>
          </w:p>
          <w:p w14:paraId="117CCA9A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7B7529DE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AFFA6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数据可视化设计原则与最佳实践</w:t>
                                  </w:r>
                                </w:p>
                                <w:p w14:paraId="1075E92D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2AFFA68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数据可视化设计原则与最佳实践</w:t>
                            </w:r>
                          </w:p>
                          <w:p w14:paraId="1075E9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D42521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25CC209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数据可视化进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5.8pt;width:48pt;z-index:251673600;mso-width-relative:page;mso-height-relative:page;" filled="f" stroked="f" coordsize="21600,21600" arcsize="0.333333333333333" o:gfxdata="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JpynCdgAAAAI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25CC209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数据可视化进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DA14A03">
            <w:pPr>
              <w:rPr>
                <w:rFonts w:hint="eastAsia" w:ascii="宋体" w:hAnsi="宋体"/>
                <w:sz w:val="24"/>
              </w:rPr>
            </w:pPr>
          </w:p>
          <w:p w14:paraId="0FA14BEE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FFBB3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6ABE0312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1FFBB37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6ABE031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9EAA01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A693400">
        <w:trPr>
          <w:trHeight w:val="439" w:hRule="atLeast"/>
        </w:trPr>
        <w:tc>
          <w:tcPr>
            <w:tcW w:w="1447" w:type="dxa"/>
            <w:vAlign w:val="center"/>
          </w:tcPr>
          <w:p w14:paraId="638454B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6B2F4E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FD3331B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0FCE32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0A3327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掌握</w:t>
            </w:r>
            <w:r>
              <w:rPr>
                <w:rFonts w:hint="eastAsia" w:ascii="宋体" w:hAnsi="宋体"/>
                <w:bCs/>
                <w:sz w:val="24"/>
              </w:rPr>
              <w:t>数据可视化进阶</w:t>
            </w:r>
          </w:p>
        </w:tc>
      </w:tr>
      <w:tr w14:paraId="37543CE7">
        <w:trPr>
          <w:trHeight w:val="401" w:hRule="atLeast"/>
        </w:trPr>
        <w:tc>
          <w:tcPr>
            <w:tcW w:w="1447" w:type="dxa"/>
            <w:vAlign w:val="center"/>
          </w:tcPr>
          <w:p w14:paraId="245C57A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59C123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4F7297D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A37521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192D9873">
        <w:trPr>
          <w:trHeight w:val="389" w:hRule="atLeast"/>
        </w:trPr>
        <w:tc>
          <w:tcPr>
            <w:tcW w:w="1447" w:type="dxa"/>
            <w:vAlign w:val="center"/>
          </w:tcPr>
          <w:p w14:paraId="35B144F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CAF3914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53E21B6">
      <w:pPr>
        <w:jc w:val="center"/>
        <w:rPr>
          <w:b/>
          <w:sz w:val="24"/>
          <w:szCs w:val="36"/>
        </w:rPr>
      </w:pPr>
    </w:p>
    <w:p w14:paraId="3BA003DB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04C0C001">
      <w:pPr>
        <w:jc w:val="center"/>
        <w:rPr>
          <w:b/>
          <w:sz w:val="24"/>
          <w:szCs w:val="36"/>
        </w:rPr>
      </w:pPr>
    </w:p>
    <w:p w14:paraId="719298D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B64E252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FFF407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58B12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B92020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898A3EE"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B2F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768D39A">
            <w:pPr>
              <w:spacing w:line="400" w:lineRule="exact"/>
              <w:jc w:val="center"/>
              <w:rPr>
                <w:sz w:val="24"/>
              </w:rPr>
            </w:pPr>
          </w:p>
          <w:p w14:paraId="3B8A9FF3">
            <w:pPr>
              <w:spacing w:line="400" w:lineRule="exact"/>
              <w:jc w:val="center"/>
              <w:rPr>
                <w:sz w:val="24"/>
              </w:rPr>
            </w:pPr>
          </w:p>
          <w:p w14:paraId="5027016C">
            <w:pPr>
              <w:spacing w:line="400" w:lineRule="exact"/>
              <w:jc w:val="center"/>
              <w:rPr>
                <w:sz w:val="24"/>
              </w:rPr>
            </w:pPr>
          </w:p>
          <w:p w14:paraId="036E6567">
            <w:pPr>
              <w:spacing w:line="400" w:lineRule="exact"/>
              <w:jc w:val="center"/>
              <w:rPr>
                <w:sz w:val="24"/>
              </w:rPr>
            </w:pPr>
          </w:p>
          <w:p w14:paraId="3D34D9BD">
            <w:pPr>
              <w:spacing w:line="400" w:lineRule="exact"/>
              <w:jc w:val="center"/>
              <w:rPr>
                <w:sz w:val="24"/>
              </w:rPr>
            </w:pPr>
          </w:p>
          <w:p w14:paraId="2F91FFC7">
            <w:pPr>
              <w:spacing w:line="400" w:lineRule="exact"/>
              <w:jc w:val="center"/>
              <w:rPr>
                <w:sz w:val="24"/>
              </w:rPr>
            </w:pPr>
          </w:p>
          <w:p w14:paraId="0F0E4026">
            <w:pPr>
              <w:spacing w:line="400" w:lineRule="exact"/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30BFB6E4">
            <w:pPr>
              <w:spacing w:line="400" w:lineRule="exact"/>
              <w:jc w:val="center"/>
              <w:rPr>
                <w:sz w:val="24"/>
              </w:rPr>
            </w:pPr>
          </w:p>
          <w:p w14:paraId="45D80E70">
            <w:pPr>
              <w:spacing w:line="400" w:lineRule="exact"/>
              <w:jc w:val="center"/>
              <w:rPr>
                <w:sz w:val="24"/>
              </w:rPr>
            </w:pPr>
          </w:p>
          <w:p w14:paraId="0CAEAEB7">
            <w:pPr>
              <w:spacing w:line="400" w:lineRule="exact"/>
              <w:jc w:val="center"/>
              <w:rPr>
                <w:sz w:val="24"/>
              </w:rPr>
            </w:pPr>
          </w:p>
          <w:p w14:paraId="247155A9">
            <w:pPr>
              <w:spacing w:line="400" w:lineRule="exact"/>
              <w:jc w:val="center"/>
              <w:rPr>
                <w:sz w:val="24"/>
              </w:rPr>
            </w:pPr>
          </w:p>
          <w:p w14:paraId="2AEFEA32">
            <w:pPr>
              <w:spacing w:line="400" w:lineRule="exact"/>
              <w:jc w:val="center"/>
              <w:rPr>
                <w:sz w:val="24"/>
              </w:rPr>
            </w:pPr>
          </w:p>
          <w:p w14:paraId="50F843AC">
            <w:pPr>
              <w:spacing w:line="400" w:lineRule="exact"/>
              <w:jc w:val="center"/>
              <w:rPr>
                <w:sz w:val="24"/>
              </w:rPr>
            </w:pPr>
          </w:p>
          <w:p w14:paraId="5F491093">
            <w:pPr>
              <w:spacing w:line="400" w:lineRule="exact"/>
              <w:jc w:val="center"/>
              <w:rPr>
                <w:sz w:val="24"/>
              </w:rPr>
            </w:pPr>
          </w:p>
          <w:p w14:paraId="110DB13F">
            <w:pPr>
              <w:spacing w:line="400" w:lineRule="exact"/>
              <w:jc w:val="center"/>
              <w:rPr>
                <w:sz w:val="24"/>
              </w:rPr>
            </w:pPr>
          </w:p>
          <w:p w14:paraId="55556932">
            <w:pPr>
              <w:spacing w:line="400" w:lineRule="exact"/>
              <w:jc w:val="center"/>
              <w:rPr>
                <w:sz w:val="24"/>
              </w:rPr>
            </w:pPr>
          </w:p>
          <w:p w14:paraId="48B17C8E">
            <w:pPr>
              <w:spacing w:line="400" w:lineRule="exact"/>
              <w:jc w:val="center"/>
              <w:rPr>
                <w:sz w:val="24"/>
              </w:rPr>
            </w:pPr>
          </w:p>
          <w:p w14:paraId="5C0421CF">
            <w:pPr>
              <w:spacing w:line="400" w:lineRule="exact"/>
              <w:jc w:val="center"/>
              <w:rPr>
                <w:sz w:val="24"/>
              </w:rPr>
            </w:pPr>
          </w:p>
          <w:p w14:paraId="2591F451">
            <w:pPr>
              <w:spacing w:line="400" w:lineRule="exact"/>
              <w:jc w:val="center"/>
              <w:rPr>
                <w:sz w:val="24"/>
              </w:rPr>
            </w:pPr>
          </w:p>
          <w:p w14:paraId="6B569367">
            <w:pPr>
              <w:spacing w:line="400" w:lineRule="exact"/>
              <w:jc w:val="center"/>
              <w:rPr>
                <w:sz w:val="24"/>
              </w:rPr>
            </w:pPr>
          </w:p>
          <w:p w14:paraId="7361B74C">
            <w:pPr>
              <w:spacing w:line="400" w:lineRule="exact"/>
              <w:jc w:val="center"/>
              <w:rPr>
                <w:sz w:val="24"/>
              </w:rPr>
            </w:pPr>
          </w:p>
          <w:p w14:paraId="06C1D992">
            <w:pPr>
              <w:spacing w:line="400" w:lineRule="exact"/>
              <w:jc w:val="center"/>
              <w:rPr>
                <w:sz w:val="24"/>
              </w:rPr>
            </w:pPr>
          </w:p>
          <w:p w14:paraId="55C46C5C">
            <w:pPr>
              <w:spacing w:line="400" w:lineRule="exact"/>
              <w:jc w:val="center"/>
              <w:rPr>
                <w:sz w:val="24"/>
              </w:rPr>
            </w:pPr>
          </w:p>
          <w:p w14:paraId="6B7DF9B5">
            <w:pPr>
              <w:spacing w:line="400" w:lineRule="exact"/>
              <w:jc w:val="center"/>
              <w:rPr>
                <w:sz w:val="24"/>
              </w:rPr>
            </w:pPr>
          </w:p>
          <w:p w14:paraId="5AE1915C">
            <w:pPr>
              <w:spacing w:line="400" w:lineRule="exact"/>
              <w:jc w:val="center"/>
              <w:rPr>
                <w:sz w:val="24"/>
              </w:rPr>
            </w:pPr>
          </w:p>
          <w:p w14:paraId="1A9252F6">
            <w:pPr>
              <w:spacing w:line="400" w:lineRule="exact"/>
              <w:jc w:val="center"/>
              <w:rPr>
                <w:sz w:val="24"/>
              </w:rPr>
            </w:pPr>
          </w:p>
          <w:p w14:paraId="7A85675A">
            <w:pPr>
              <w:spacing w:line="400" w:lineRule="exact"/>
              <w:jc w:val="center"/>
              <w:rPr>
                <w:sz w:val="24"/>
              </w:rPr>
            </w:pPr>
          </w:p>
          <w:p w14:paraId="6ADAEC8A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6BB16C48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1093F3A1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16F62981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7CA2EE4F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19D5299">
            <w:pPr>
              <w:spacing w:line="400" w:lineRule="exact"/>
              <w:rPr>
                <w:sz w:val="24"/>
              </w:rPr>
            </w:pPr>
          </w:p>
          <w:p w14:paraId="5B7681D6">
            <w:pPr>
              <w:spacing w:line="400" w:lineRule="exact"/>
              <w:rPr>
                <w:sz w:val="24"/>
              </w:rPr>
            </w:pPr>
          </w:p>
          <w:p w14:paraId="6C5FC8CE">
            <w:pPr>
              <w:spacing w:line="400" w:lineRule="exact"/>
              <w:rPr>
                <w:b/>
                <w:sz w:val="24"/>
              </w:rPr>
            </w:pPr>
          </w:p>
          <w:p w14:paraId="31A76D6A">
            <w:pPr>
              <w:spacing w:line="400" w:lineRule="exact"/>
              <w:rPr>
                <w:b/>
                <w:sz w:val="24"/>
              </w:rPr>
            </w:pPr>
          </w:p>
          <w:p w14:paraId="7F1D489B">
            <w:pPr>
              <w:spacing w:line="400" w:lineRule="exact"/>
              <w:rPr>
                <w:b/>
                <w:sz w:val="24"/>
              </w:rPr>
            </w:pPr>
          </w:p>
          <w:p w14:paraId="21775EFE">
            <w:pPr>
              <w:spacing w:line="400" w:lineRule="exact"/>
              <w:rPr>
                <w:b/>
                <w:sz w:val="24"/>
              </w:rPr>
            </w:pPr>
          </w:p>
          <w:p w14:paraId="7B83F356">
            <w:pPr>
              <w:spacing w:line="400" w:lineRule="exact"/>
              <w:rPr>
                <w:b/>
                <w:sz w:val="24"/>
              </w:rPr>
            </w:pPr>
          </w:p>
          <w:p w14:paraId="101B2BDF">
            <w:pPr>
              <w:spacing w:line="400" w:lineRule="exact"/>
              <w:rPr>
                <w:b/>
                <w:sz w:val="24"/>
              </w:rPr>
            </w:pPr>
          </w:p>
          <w:p w14:paraId="7D6EC6C6">
            <w:pPr>
              <w:spacing w:line="400" w:lineRule="exact"/>
              <w:rPr>
                <w:b/>
                <w:sz w:val="24"/>
              </w:rPr>
            </w:pPr>
          </w:p>
          <w:p w14:paraId="1DCCA60C">
            <w:pPr>
              <w:spacing w:line="400" w:lineRule="exact"/>
              <w:rPr>
                <w:b/>
                <w:sz w:val="24"/>
              </w:rPr>
            </w:pPr>
          </w:p>
          <w:p w14:paraId="4F0AE79C">
            <w:pPr>
              <w:spacing w:line="400" w:lineRule="exact"/>
              <w:rPr>
                <w:b/>
                <w:sz w:val="24"/>
              </w:rPr>
            </w:pPr>
          </w:p>
          <w:p w14:paraId="70642FEC">
            <w:pPr>
              <w:spacing w:line="400" w:lineRule="exact"/>
              <w:rPr>
                <w:b/>
                <w:sz w:val="24"/>
              </w:rPr>
            </w:pPr>
          </w:p>
          <w:p w14:paraId="4E8F7249">
            <w:pPr>
              <w:spacing w:line="400" w:lineRule="exact"/>
              <w:rPr>
                <w:b/>
                <w:sz w:val="24"/>
              </w:rPr>
            </w:pPr>
          </w:p>
          <w:p w14:paraId="7020369B">
            <w:pPr>
              <w:spacing w:line="400" w:lineRule="exact"/>
              <w:rPr>
                <w:b/>
                <w:sz w:val="24"/>
              </w:rPr>
            </w:pPr>
          </w:p>
          <w:p w14:paraId="1EDBBB3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EA9FDD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A7B877C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4029951D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引导学生思考：在信息过载时代，如何从海量数据中快速提取关键信息？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激发兴趣，通过展示疫情数据地图、双十一实时交易大屏等案例，说明数据可视化在决策分析中的核心价值。</w:t>
            </w:r>
          </w:p>
          <w:p w14:paraId="164A3DA6">
            <w:pPr>
              <w:spacing w:line="400" w:lineRule="exact"/>
              <w:jc w:val="left"/>
              <w:rPr>
                <w:sz w:val="24"/>
              </w:rPr>
            </w:pPr>
          </w:p>
          <w:p w14:paraId="392BC10D">
            <w:pPr>
              <w:spacing w:line="400" w:lineRule="exact"/>
              <w:jc w:val="left"/>
              <w:rPr>
                <w:sz w:val="24"/>
              </w:rPr>
            </w:pPr>
          </w:p>
          <w:p w14:paraId="5E99EEF4">
            <w:pPr>
              <w:numPr>
                <w:ilvl w:val="0"/>
                <w:numId w:val="3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知识准备</w:t>
            </w:r>
          </w:p>
          <w:p w14:paraId="527101A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教师介绍课程总体框架，包括从基础图表到交互式可视化全流程、课程目标、教学方式（案例教学、实践操作为主）、考核安排及项目任务。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强调数据可视化作为"数据到洞见"的最后一公里。</w:t>
            </w:r>
          </w:p>
          <w:p w14:paraId="545A0710">
            <w:pPr>
              <w:jc w:val="left"/>
              <w:rPr>
                <w:b/>
                <w:sz w:val="24"/>
              </w:rPr>
            </w:pPr>
          </w:p>
          <w:p w14:paraId="1CCDDA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二、技能操作</w:t>
            </w:r>
          </w:p>
          <w:p w14:paraId="667C19CA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bookmarkStart w:id="0" w:name="_GoBack"/>
            <w:r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  <w:t>1、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高阶图表技术精讲</w:t>
            </w:r>
          </w:p>
          <w:p w14:paraId="41F652B8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热力图：展示电商用户行为密度</w:t>
            </w:r>
          </w:p>
          <w:p w14:paraId="21D02BBF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桑基图：揭示用户转化路径</w:t>
            </w:r>
          </w:p>
          <w:p w14:paraId="4A2AFC21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地理信息可视化：疫情传播时空分析</w:t>
            </w:r>
          </w:p>
          <w:p w14:paraId="6E174B3D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实战：用Python绘制动态疫情热力图</w:t>
            </w:r>
          </w:p>
          <w:p w14:paraId="3E354824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  <w:t>2、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交互式可视化开发</w:t>
            </w:r>
          </w:p>
          <w:p w14:paraId="1D1D70CF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Plotly Dash框架解析</w:t>
            </w:r>
          </w:p>
          <w:p w14:paraId="0D7D85FA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控件与回调函数开发</w:t>
            </w:r>
          </w:p>
          <w:p w14:paraId="238973F5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实战：搭建销售数据实时看板</w:t>
            </w:r>
          </w:p>
          <w:p w14:paraId="657F7E43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  <w:t>3、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商业智能实战</w:t>
            </w:r>
          </w:p>
          <w:p w14:paraId="671BACF3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Tableau仪表盘设计规范</w:t>
            </w:r>
          </w:p>
          <w:p w14:paraId="2BC6D399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数据故事叙述技巧</w:t>
            </w:r>
          </w:p>
          <w:p w14:paraId="05B06EF3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实战：制作零售业RFM分析仪表盘</w:t>
            </w:r>
          </w:p>
          <w:bookmarkEnd w:id="0"/>
          <w:p w14:paraId="43B7A3B5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</w:p>
          <w:p w14:paraId="77102640">
            <w:pPr>
              <w:spacing w:line="440" w:lineRule="exact"/>
              <w:ind w:firstLine="480" w:firstLineChars="200"/>
              <w:rPr>
                <w:rFonts w:hint="eastAsia" w:cs="Times New Roman" w:asciiTheme="minorEastAsia" w:hAnsiTheme="minorEastAsia" w:eastAsiaTheme="minorEastAsia"/>
                <w:sz w:val="24"/>
              </w:rPr>
            </w:pPr>
          </w:p>
          <w:p w14:paraId="41985A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CDDD74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599B2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46509D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33880A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9ABB1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ACFDA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2FDB4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9F1D5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865A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63BEC05">
            <w:pPr>
              <w:spacing w:line="400" w:lineRule="exact"/>
              <w:jc w:val="left"/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总结与作业布置</w:t>
            </w:r>
          </w:p>
          <w:p w14:paraId="33DA3B5B">
            <w:pPr>
              <w:spacing w:line="400" w:lineRule="exact"/>
              <w:jc w:val="left"/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总结</w:t>
            </w:r>
            <w:r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  <w:t>：</w:t>
            </w: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可视化设计四原则、工具选型矩阵。</w:t>
            </w:r>
          </w:p>
          <w:p w14:paraId="5623ED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cs="Times New Roman" w:asciiTheme="minorEastAsia" w:hAnsiTheme="minorEastAsia" w:eastAsiaTheme="minorEastAsia"/>
                <w:sz w:val="24"/>
                <w:lang w:val="en-US" w:eastAsia="zh-CN"/>
              </w:rPr>
              <w:t>作业：</w:t>
            </w:r>
            <w:r>
              <w:rPr>
                <w:rFonts w:hint="eastAsia" w:cs="Times New Roman" w:asciiTheme="minorEastAsia" w:hAnsiTheme="minorEastAsia" w:eastAsiaTheme="minorEastAsia"/>
                <w:sz w:val="24"/>
                <w:lang w:val="en-US" w:eastAsia="zh-CN"/>
              </w:rPr>
              <w:t>制作热力图和轨迹图</w:t>
            </w:r>
          </w:p>
        </w:tc>
        <w:tc>
          <w:tcPr>
            <w:tcW w:w="1467" w:type="dxa"/>
            <w:vMerge w:val="restart"/>
          </w:tcPr>
          <w:p w14:paraId="3B4BA62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03230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00838A5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515EE560">
            <w:pPr>
              <w:spacing w:line="400" w:lineRule="exact"/>
              <w:jc w:val="left"/>
              <w:rPr>
                <w:szCs w:val="21"/>
              </w:rPr>
            </w:pPr>
          </w:p>
          <w:p w14:paraId="40926F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CC9FFA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7C611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85D61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D73CA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2E30A5B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B52AF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1E074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0A2B1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2E24450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07933E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04C9D3C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CE5A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71C4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8675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641F2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80B59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666BC9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E5D23B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063065A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7508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D7495F5"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C25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D8D7E7E">
            <w:pPr>
              <w:ind w:firstLine="300" w:firstLineChars="100"/>
              <w:jc w:val="both"/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数据可视化进阶核心</w:t>
            </w:r>
          </w:p>
          <w:p w14:paraId="083A570F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一、可视化技术演进</w:t>
            </w:r>
          </w:p>
          <w:p w14:paraId="412A7F2A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二、现代可视化核心优势</w:t>
            </w:r>
          </w:p>
          <w:p w14:paraId="165D4840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三、可视化技术生态体系</w:t>
            </w:r>
          </w:p>
          <w:p w14:paraId="4586CC7E">
            <w:pPr>
              <w:ind w:firstLine="240" w:firstLineChars="10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F5FE8D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4D4398"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A9E2F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C762861">
            <w:pPr>
              <w:ind w:firstLine="210" w:firstLineChars="100"/>
              <w:jc w:val="left"/>
              <w:rPr>
                <w:b/>
                <w:sz w:val="24"/>
              </w:rPr>
            </w:pPr>
            <w:r>
              <w:t>数据可视化作为数据分析与决策支持的关键技术，在数字化转型时代发挥着不可替代的作用。通过本模块的教学，学生系统掌握了从基础图表到高级可视化的完整知识体系，对可视化设计原则、交互技术及商业应用形成了全面认知。课程采用"案例演示+项目驱动"的教学模式，通过疫情热力图、销售动态看板等实战项目，有效培养了学生的数据叙事能力和工具应用水平。教学过程中发现，部分学生在复杂业务场景的可视化方案设计上仍存在不足，后续将通过企业真实案例演练和跨学科项目协作，重点提升学生的业务理解与创新应用能力。建议学生持续关注Tableau、Power BI等工具的最新功能，并积极参与Kaggle可视化竞赛等实践活动，在实践中深化理论认知，培养数据美学素养。</w:t>
            </w:r>
          </w:p>
        </w:tc>
        <w:tc>
          <w:tcPr>
            <w:tcW w:w="1467" w:type="dxa"/>
          </w:tcPr>
          <w:p w14:paraId="7BF7DF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227045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E095D"/>
    <w:rsid w:val="001154B7"/>
    <w:rsid w:val="00132825"/>
    <w:rsid w:val="00142FC4"/>
    <w:rsid w:val="00147B6F"/>
    <w:rsid w:val="00154273"/>
    <w:rsid w:val="0015786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91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3161C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6494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5D61333"/>
    <w:rsid w:val="362D93F6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5C35F61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1250</Words>
  <Characters>1345</Characters>
  <Lines>137</Lines>
  <Paragraphs>88</Paragraphs>
  <TotalTime>5</TotalTime>
  <ScaleCrop>false</ScaleCrop>
  <LinksUpToDate>false</LinksUpToDate>
  <CharactersWithSpaces>1391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2025-06-23T11:37:00Z</dcterms:created>
  <dc:creator>电脑城装机专用版</dc:creator>
  <cp:lastModifiedBy>纨绔</cp:lastModifiedBy>
  <dcterms:modified xsi:type="dcterms:W3CDTF">2025-06-27T15:03:47Z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9C24C2CF69A2A34053425E684CD1B44D_43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